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Hörby kommunfullmäktige</w:t>
      </w:r>
    </w:p>
    <w:p>
      <w:pPr>
        <w:pStyle w:val="Heading1"/>
      </w:pPr>
      <w:r>
        <w:t xml:space="preserve">Effektiv integration – språkkrav och arbetslinje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Hörby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Sysselsättningsgraden bland utrikes födda är 58 % (Arbetsförmedlingen 2024). Moderaterna vill koppla insatser till språk och jobb.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Hörby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språkkrav på SFI-nivå 3 införs för försörjningsstöd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arbetspraktik kopplas till alla integrationsinsatser med minst 6 månader.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samverkan med näringslivet för jobbspår utökas till 50 platser årligen.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resultaten redovisas i integrationsnämnd med årlig rapport.</w:t>
      </w:r>
    </w:p>
    <w:p>
      <w:pPr>
        <w:spacing w:before="360"/>
      </w:pPr>
    </w:p>
    <w:p>
      <w:r>
        <w:t xml:space="preserve">Hörby,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Hörby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2026-06-06T01:48:24.406Z</dcterms:created>
  <dcterms:modified xsi:type="dcterms:W3CDTF">2026-06-06T01:48:24.406Z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